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0001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36C26324R0021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437-22-101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Colin Moening, Contract Specialist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36C26324R0021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12-14-2023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1005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** HOUR &amp; DATE for Receipt of Offers is EXTENDED to: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February 7, 2024 at 1:00 pm (CT)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Name: Refurbish Elevators and Replace Controls; Project Number: 437-22-101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POC:  Colin Moening: Phone: 651-293-3021; Email: colin.moening@va.gov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Provide January 3, 2024 pre-proposal site visit agenda and sign-in sheet.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2. Add additional site visit for visual inspection of elevator pits with elevator maintenance representative on-site.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Additional site visit will begin at Main Hospital building 1, Room BC91 at 1:00pm (CT) on Wednesday January 17, 2024.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3. Change question due time/date to 1:00pm (CT) Wednesday January 24, 2024.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4. Change the proposal due time/date to 1:00pm (CT) Wednesday February 7, 2024.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5. Provide updated Cass County wage determination, ND20240013, 5 Jan 2024.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Teresa Kohlbeck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</w:pPr>
      <w:r>
        <w:t>See attached document: Pre-Bid Site Visit Agenda, Refurb Elevators, Fargo, 3 Jan 2024.</w:t>
      </w:r>
    </w:p>
    <w:p>
      <w:pPr>
        <w:ind w:left="360"/>
      </w:pPr>
      <w:r>
        <w:t>See attached document: Pre-Bid Sign-In 3 Jan 2024.</w:t>
      </w:r>
    </w:p>
    <w:p>
      <w:pPr>
        <w:ind w:left="360"/>
      </w:pPr>
      <w:r>
        <w:t>See attached document: Wage Determ ND20240013 1-5-2024, pulled 8 Jan 2024.</w: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2024-01-08T17:45:15Z</dcterms:created>
  <dcterms:modified xsi:type="dcterms:W3CDTF">2024-01-08T17:45:15Z</dcterms:modified>
</cp:coreProperties>
</file>